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A6B" w:rsidRPr="002331BE" w:rsidRDefault="00456B16" w:rsidP="00362A6B">
      <w:pPr>
        <w:pStyle w:val="a8"/>
        <w:tabs>
          <w:tab w:val="right" w:pos="9630"/>
        </w:tabs>
        <w:jc w:val="both"/>
        <w:rPr>
          <w:rFonts w:eastAsia="宋体"/>
          <w:noProof w:val="0"/>
          <w:sz w:val="24"/>
          <w:lang w:val="en-GB"/>
        </w:rPr>
      </w:pPr>
      <w:r w:rsidRPr="00600F12">
        <w:rPr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80A86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+rhmQ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ZaPq4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600F12">
        <w:rPr>
          <w:noProof w:val="0"/>
          <w:sz w:val="24"/>
          <w:lang w:val="en-GB"/>
        </w:rPr>
        <w:t>3GPP TSG-RAN WG</w:t>
      </w:r>
      <w:r w:rsidR="002331BE">
        <w:rPr>
          <w:rFonts w:eastAsia="宋体" w:hint="eastAsia"/>
          <w:noProof w:val="0"/>
          <w:sz w:val="24"/>
          <w:lang w:val="en-GB"/>
        </w:rPr>
        <w:t>2</w:t>
      </w:r>
      <w:r w:rsidR="00675D53">
        <w:rPr>
          <w:rFonts w:eastAsia="宋体"/>
          <w:noProof w:val="0"/>
          <w:sz w:val="24"/>
          <w:lang w:val="en-GB"/>
        </w:rPr>
        <w:t xml:space="preserve"> Meeting</w:t>
      </w:r>
      <w:r w:rsidR="006B2C07" w:rsidRPr="00600F12">
        <w:rPr>
          <w:noProof w:val="0"/>
          <w:sz w:val="24"/>
          <w:lang w:val="en-GB"/>
        </w:rPr>
        <w:t>#10</w:t>
      </w:r>
      <w:r w:rsidR="00675D53">
        <w:rPr>
          <w:noProof w:val="0"/>
          <w:sz w:val="24"/>
          <w:lang w:val="en-GB"/>
        </w:rPr>
        <w:t>7</w:t>
      </w:r>
      <w:r w:rsidR="00362A6B" w:rsidRPr="00600F12">
        <w:rPr>
          <w:noProof w:val="0"/>
          <w:sz w:val="24"/>
          <w:lang w:val="en-GB"/>
        </w:rPr>
        <w:tab/>
      </w:r>
      <w:r w:rsidR="00C56C1D" w:rsidRPr="00C56C1D">
        <w:rPr>
          <w:noProof w:val="0"/>
          <w:sz w:val="24"/>
          <w:lang w:val="en-GB"/>
        </w:rPr>
        <w:t>R2-1910350</w:t>
      </w:r>
    </w:p>
    <w:p w:rsidR="0097006C" w:rsidRPr="00600F12" w:rsidRDefault="00675D53" w:rsidP="00EB28E0">
      <w:pPr>
        <w:pStyle w:val="a8"/>
        <w:tabs>
          <w:tab w:val="right" w:pos="9630"/>
        </w:tabs>
        <w:rPr>
          <w:rFonts w:eastAsia="宋体" w:cs="黑体"/>
          <w:noProof w:val="0"/>
          <w:sz w:val="24"/>
          <w:szCs w:val="22"/>
          <w:lang w:val="en-GB"/>
        </w:rPr>
      </w:pPr>
      <w:r>
        <w:rPr>
          <w:rFonts w:eastAsia="宋体" w:cs="黑体"/>
          <w:noProof w:val="0"/>
          <w:sz w:val="24"/>
          <w:szCs w:val="22"/>
          <w:lang w:val="en-GB"/>
        </w:rPr>
        <w:t>Prague</w:t>
      </w:r>
      <w:r w:rsidR="00E803E2" w:rsidRPr="00600F12">
        <w:rPr>
          <w:rFonts w:eastAsia="宋体" w:cs="黑体"/>
          <w:noProof w:val="0"/>
          <w:sz w:val="24"/>
          <w:szCs w:val="22"/>
          <w:lang w:val="en-GB"/>
        </w:rPr>
        <w:t xml:space="preserve">, </w:t>
      </w:r>
      <w:r>
        <w:rPr>
          <w:rFonts w:eastAsia="宋体" w:cs="黑体"/>
          <w:noProof w:val="0"/>
          <w:sz w:val="24"/>
          <w:szCs w:val="22"/>
          <w:lang w:val="en-GB"/>
        </w:rPr>
        <w:t>Czech Republic</w:t>
      </w:r>
      <w:r w:rsidR="00E803E2" w:rsidRPr="00600F12">
        <w:rPr>
          <w:rFonts w:eastAsia="宋体" w:cs="黑体"/>
          <w:noProof w:val="0"/>
          <w:sz w:val="24"/>
          <w:szCs w:val="22"/>
          <w:lang w:val="en-GB"/>
        </w:rPr>
        <w:t xml:space="preserve">, </w:t>
      </w:r>
      <w:r>
        <w:rPr>
          <w:rFonts w:eastAsia="宋体" w:cs="黑体"/>
          <w:noProof w:val="0"/>
          <w:sz w:val="24"/>
          <w:szCs w:val="22"/>
          <w:lang w:val="en-GB"/>
        </w:rPr>
        <w:t>26</w:t>
      </w:r>
      <w:r w:rsidR="00404224" w:rsidRPr="00404224">
        <w:rPr>
          <w:rFonts w:eastAsia="宋体" w:cs="黑体"/>
          <w:noProof w:val="0"/>
          <w:sz w:val="24"/>
          <w:szCs w:val="22"/>
          <w:vertAlign w:val="superscript"/>
          <w:lang w:val="en-GB"/>
        </w:rPr>
        <w:t>th</w:t>
      </w:r>
      <w:r w:rsidR="00404224">
        <w:rPr>
          <w:rFonts w:eastAsia="宋体" w:cs="黑体"/>
          <w:noProof w:val="0"/>
          <w:sz w:val="24"/>
          <w:szCs w:val="22"/>
          <w:lang w:val="en-GB"/>
        </w:rPr>
        <w:t xml:space="preserve"> – </w:t>
      </w:r>
      <w:r>
        <w:rPr>
          <w:rFonts w:eastAsia="宋体" w:cs="黑体"/>
          <w:noProof w:val="0"/>
          <w:sz w:val="24"/>
          <w:szCs w:val="22"/>
          <w:lang w:val="en-GB"/>
        </w:rPr>
        <w:t>30</w:t>
      </w:r>
      <w:r w:rsidR="00404224" w:rsidRPr="00404224">
        <w:rPr>
          <w:rFonts w:eastAsia="宋体" w:cs="黑体"/>
          <w:noProof w:val="0"/>
          <w:sz w:val="24"/>
          <w:szCs w:val="22"/>
          <w:vertAlign w:val="superscript"/>
          <w:lang w:val="en-GB"/>
        </w:rPr>
        <w:t>th</w:t>
      </w:r>
      <w:r w:rsidR="002331BE" w:rsidRPr="002331BE">
        <w:rPr>
          <w:rFonts w:eastAsia="宋体" w:cs="黑体"/>
          <w:noProof w:val="0"/>
          <w:sz w:val="24"/>
          <w:szCs w:val="22"/>
          <w:lang w:val="en-GB"/>
        </w:rPr>
        <w:t xml:space="preserve"> </w:t>
      </w:r>
      <w:r>
        <w:rPr>
          <w:rFonts w:eastAsia="宋体" w:cs="黑体"/>
          <w:noProof w:val="0"/>
          <w:sz w:val="24"/>
          <w:szCs w:val="22"/>
          <w:lang w:val="en-GB"/>
        </w:rPr>
        <w:t>August</w:t>
      </w:r>
      <w:r w:rsidR="002331BE" w:rsidRPr="002331BE">
        <w:rPr>
          <w:rFonts w:eastAsia="宋体" w:cs="黑体"/>
          <w:noProof w:val="0"/>
          <w:sz w:val="24"/>
          <w:szCs w:val="22"/>
          <w:lang w:val="en-GB"/>
        </w:rPr>
        <w:t xml:space="preserve"> 2019</w:t>
      </w:r>
      <w:r w:rsidR="00404224">
        <w:rPr>
          <w:rFonts w:eastAsia="宋体" w:cs="黑体"/>
          <w:noProof w:val="0"/>
          <w:sz w:val="24"/>
          <w:szCs w:val="22"/>
          <w:lang w:val="en-GB"/>
        </w:rPr>
        <w:t xml:space="preserve">  </w:t>
      </w:r>
      <w:r w:rsidR="00404224">
        <w:rPr>
          <w:rFonts w:eastAsia="宋体" w:cs="黑体"/>
          <w:noProof w:val="0"/>
          <w:sz w:val="24"/>
          <w:szCs w:val="22"/>
          <w:lang w:val="en-GB"/>
        </w:rPr>
        <w:tab/>
      </w:r>
      <w:r w:rsidR="00404224" w:rsidRPr="009102B6">
        <w:rPr>
          <w:rFonts w:cs="黑体"/>
          <w:i/>
          <w:sz w:val="22"/>
          <w:szCs w:val="22"/>
          <w:lang w:val="en-GB"/>
        </w:rPr>
        <w:t xml:space="preserve">Revision of </w:t>
      </w:r>
      <w:r w:rsidR="00C81A22" w:rsidRPr="00C81A22">
        <w:rPr>
          <w:rFonts w:cs="黑体"/>
          <w:i/>
          <w:sz w:val="22"/>
          <w:szCs w:val="22"/>
          <w:lang w:val="en-GB"/>
        </w:rPr>
        <w:t>R2-19</w:t>
      </w:r>
      <w:r>
        <w:rPr>
          <w:rFonts w:cs="黑体"/>
          <w:i/>
          <w:sz w:val="22"/>
          <w:szCs w:val="22"/>
          <w:lang w:val="en-GB"/>
        </w:rPr>
        <w:t>06073</w:t>
      </w:r>
      <w:r w:rsidR="00E96564" w:rsidRPr="00600F12">
        <w:rPr>
          <w:b w:val="0"/>
          <w:noProof w:val="0"/>
          <w:sz w:val="24"/>
          <w:lang w:val="en-GB"/>
        </w:rPr>
        <w:tab/>
      </w:r>
      <w:r w:rsidR="00362A6B" w:rsidRPr="00600F12">
        <w:rPr>
          <w:b w:val="0"/>
          <w:noProof w:val="0"/>
          <w:sz w:val="24"/>
          <w:lang w:val="en-GB"/>
        </w:rPr>
        <w:tab/>
      </w:r>
    </w:p>
    <w:p w:rsidR="00652667" w:rsidRPr="00404224" w:rsidRDefault="001C141A" w:rsidP="00731045">
      <w:pPr>
        <w:pStyle w:val="3GPPHeader"/>
        <w:rPr>
          <w:lang w:val="en-GB"/>
        </w:rPr>
      </w:pPr>
      <w:r w:rsidRPr="00600F12">
        <w:rPr>
          <w:lang w:val="en-GB"/>
        </w:rPr>
        <w:t>Agenda Item:</w:t>
      </w:r>
      <w:r w:rsidRPr="00600F12">
        <w:rPr>
          <w:lang w:val="en-GB"/>
        </w:rPr>
        <w:tab/>
      </w:r>
      <w:r w:rsidR="003D6CA1" w:rsidRPr="00404224">
        <w:rPr>
          <w:lang w:val="en-GB"/>
        </w:rPr>
        <w:t>11.1.</w:t>
      </w:r>
      <w:r w:rsidR="00194B2E" w:rsidRPr="00404224">
        <w:rPr>
          <w:lang w:val="en-GB"/>
        </w:rPr>
        <w:t>5</w:t>
      </w:r>
    </w:p>
    <w:p w:rsidR="00652667" w:rsidRPr="00600F12" w:rsidRDefault="00652667" w:rsidP="00731045">
      <w:pPr>
        <w:pStyle w:val="3GPPHeader"/>
        <w:rPr>
          <w:rFonts w:eastAsia="MS Mincho"/>
          <w:lang w:val="en-GB"/>
        </w:rPr>
      </w:pPr>
      <w:r w:rsidRPr="00600F12">
        <w:rPr>
          <w:lang w:val="en-GB"/>
        </w:rPr>
        <w:t xml:space="preserve">Source: </w:t>
      </w:r>
      <w:r w:rsidRPr="00600F12">
        <w:rPr>
          <w:lang w:val="en-GB"/>
        </w:rPr>
        <w:tab/>
      </w:r>
      <w:r w:rsidR="00DF4F2E" w:rsidRPr="00404224">
        <w:rPr>
          <w:lang w:val="en-GB"/>
        </w:rPr>
        <w:t>Huawei</w:t>
      </w:r>
      <w:r w:rsidR="002F5C32" w:rsidRPr="00404224">
        <w:rPr>
          <w:rFonts w:cs="Arial" w:hint="eastAsia"/>
          <w:bCs/>
        </w:rPr>
        <w:t>, HiSilicon</w:t>
      </w:r>
    </w:p>
    <w:p w:rsidR="00F23A10" w:rsidRPr="00600F12" w:rsidRDefault="00F23A10" w:rsidP="00F23A10">
      <w:pPr>
        <w:tabs>
          <w:tab w:val="left" w:pos="1701"/>
        </w:tabs>
        <w:ind w:left="1701" w:hanging="1701"/>
        <w:rPr>
          <w:rFonts w:eastAsia="MS Mincho" w:cs="黑体"/>
          <w:bCs/>
          <w:sz w:val="24"/>
          <w:lang w:val="en-GB" w:eastAsia="ko-KR"/>
        </w:rPr>
      </w:pPr>
      <w:r w:rsidRPr="00600F12">
        <w:rPr>
          <w:rFonts w:cs="黑体"/>
          <w:b/>
          <w:bCs/>
          <w:sz w:val="24"/>
          <w:lang w:val="en-GB"/>
        </w:rPr>
        <w:t>Title:</w:t>
      </w:r>
      <w:r w:rsidRPr="00600F12">
        <w:rPr>
          <w:rFonts w:cs="黑体"/>
          <w:bCs/>
          <w:sz w:val="24"/>
          <w:lang w:val="en-GB"/>
        </w:rPr>
        <w:tab/>
      </w:r>
      <w:r w:rsidR="002331BE" w:rsidRPr="00404224">
        <w:rPr>
          <w:b/>
          <w:sz w:val="24"/>
          <w:lang w:val="en-GB"/>
        </w:rPr>
        <w:t>Access Control for IAB MT</w:t>
      </w:r>
    </w:p>
    <w:p w:rsidR="00652667" w:rsidRPr="00600F12" w:rsidRDefault="00DB630B" w:rsidP="00731045">
      <w:pPr>
        <w:pStyle w:val="3GPPHeader"/>
        <w:rPr>
          <w:lang w:val="en-GB"/>
        </w:rPr>
      </w:pPr>
      <w:r w:rsidRPr="00600F12">
        <w:rPr>
          <w:lang w:val="en-GB"/>
        </w:rPr>
        <w:t>Document for:</w:t>
      </w:r>
      <w:r w:rsidRPr="00600F12">
        <w:rPr>
          <w:lang w:val="en-GB"/>
        </w:rPr>
        <w:tab/>
      </w:r>
      <w:r w:rsidRPr="00404224">
        <w:rPr>
          <w:lang w:val="en-GB"/>
        </w:rPr>
        <w:t xml:space="preserve">Discussion and </w:t>
      </w:r>
      <w:r w:rsidR="00652667" w:rsidRPr="00404224">
        <w:rPr>
          <w:lang w:val="en-GB"/>
        </w:rPr>
        <w:t>Decision</w:t>
      </w:r>
    </w:p>
    <w:p w:rsidR="00652667" w:rsidRPr="00600F12" w:rsidRDefault="00652667" w:rsidP="00AD4CC4">
      <w:pPr>
        <w:pStyle w:val="1"/>
        <w:pBdr>
          <w:top w:val="single" w:sz="12" w:space="4" w:color="auto"/>
        </w:pBdr>
      </w:pPr>
      <w:r w:rsidRPr="00600F12">
        <w:t>Introduction</w:t>
      </w:r>
      <w:bookmarkStart w:id="0" w:name="_Ref174151459"/>
      <w:bookmarkStart w:id="1" w:name="_Ref189809556"/>
    </w:p>
    <w:p w:rsidR="007871D4" w:rsidRPr="00600F12" w:rsidRDefault="002E16A8" w:rsidP="00564747">
      <w:pPr>
        <w:jc w:val="left"/>
        <w:rPr>
          <w:lang w:val="en-GB"/>
        </w:rPr>
      </w:pPr>
      <w:r w:rsidRPr="00600F12">
        <w:rPr>
          <w:lang w:val="en-GB"/>
        </w:rPr>
        <w:t>The WI on integrated access and backhaul for NR was setup in RAN#82 [1].</w:t>
      </w:r>
      <w:r w:rsidR="00C87996">
        <w:rPr>
          <w:lang w:val="en-GB"/>
        </w:rPr>
        <w:t xml:space="preserve">This paper provides discussion on </w:t>
      </w:r>
      <w:r w:rsidR="002331BE">
        <w:rPr>
          <w:rFonts w:hint="eastAsia"/>
          <w:lang w:val="en-GB"/>
        </w:rPr>
        <w:t>access control</w:t>
      </w:r>
      <w:r w:rsidR="00C87996">
        <w:rPr>
          <w:lang w:val="en-GB"/>
        </w:rPr>
        <w:t xml:space="preserve"> </w:t>
      </w:r>
      <w:r w:rsidR="005C35C2">
        <w:rPr>
          <w:lang w:val="en-GB"/>
        </w:rPr>
        <w:t>for IAB</w:t>
      </w:r>
      <w:r w:rsidR="002331BE">
        <w:rPr>
          <w:rFonts w:hint="eastAsia"/>
          <w:lang w:val="en-GB"/>
        </w:rPr>
        <w:t xml:space="preserve"> MT access.</w:t>
      </w:r>
    </w:p>
    <w:p w:rsidR="00802721" w:rsidRDefault="006B2C07" w:rsidP="00421008">
      <w:pPr>
        <w:pStyle w:val="1"/>
        <w:rPr>
          <w:rFonts w:eastAsia="宋体"/>
        </w:rPr>
      </w:pPr>
      <w:r w:rsidRPr="00600F12">
        <w:rPr>
          <w:rFonts w:eastAsia="宋体"/>
        </w:rPr>
        <w:t>Discussion</w:t>
      </w:r>
    </w:p>
    <w:p w:rsidR="007F7D6B" w:rsidRDefault="00A721C3" w:rsidP="00A721C3">
      <w:pPr>
        <w:jc w:val="left"/>
      </w:pPr>
      <w:r>
        <w:rPr>
          <w:lang w:val="en-GB"/>
        </w:rPr>
        <w:t xml:space="preserve">In NR, </w:t>
      </w:r>
      <w:r w:rsidR="005C35C2">
        <w:rPr>
          <w:lang w:val="en-GB"/>
        </w:rPr>
        <w:t xml:space="preserve">a </w:t>
      </w:r>
      <w:r>
        <w:rPr>
          <w:lang w:val="en-GB"/>
        </w:rPr>
        <w:t xml:space="preserve">unified access control framework is specified </w:t>
      </w:r>
      <w:r w:rsidR="005C35C2">
        <w:rPr>
          <w:lang w:val="en-GB"/>
        </w:rPr>
        <w:t xml:space="preserve">which </w:t>
      </w:r>
      <w:r>
        <w:rPr>
          <w:lang w:val="en-GB"/>
        </w:rPr>
        <w:t xml:space="preserve">is applicable to all UE states (RRC_IDLE, RRC_INACTIVE and RRC_CONNECTED state). </w:t>
      </w:r>
      <w:r w:rsidR="005C35C2">
        <w:rPr>
          <w:lang w:val="en-GB"/>
        </w:rPr>
        <w:t xml:space="preserve">With </w:t>
      </w:r>
      <w:r>
        <w:rPr>
          <w:lang w:val="en-GB"/>
        </w:rPr>
        <w:t xml:space="preserve">unified access control, each access attempt is categorized into one Access Category </w:t>
      </w:r>
      <w:r w:rsidR="002331BE">
        <w:rPr>
          <w:rFonts w:hint="eastAsia"/>
          <w:lang w:val="en-GB"/>
        </w:rPr>
        <w:t xml:space="preserve">(see the table below which is specified in TS 24.501) </w:t>
      </w:r>
      <w:r>
        <w:rPr>
          <w:lang w:val="en-GB"/>
        </w:rPr>
        <w:t xml:space="preserve">and one or more Access Identities, which are provided </w:t>
      </w:r>
      <w:r w:rsidR="00CB6191">
        <w:rPr>
          <w:lang w:val="en-GB"/>
        </w:rPr>
        <w:t xml:space="preserve">to </w:t>
      </w:r>
      <w:r w:rsidR="005C682E">
        <w:rPr>
          <w:lang w:val="en-GB"/>
        </w:rPr>
        <w:t xml:space="preserve">the </w:t>
      </w:r>
      <w:r w:rsidR="00CB6191">
        <w:rPr>
          <w:lang w:val="en-GB"/>
        </w:rPr>
        <w:t>UE</w:t>
      </w:r>
      <w:r w:rsidR="005C682E">
        <w:rPr>
          <w:lang w:val="en-GB"/>
        </w:rPr>
        <w:t>’s</w:t>
      </w:r>
      <w:r w:rsidR="00CB6191">
        <w:rPr>
          <w:lang w:val="en-GB"/>
        </w:rPr>
        <w:t xml:space="preserve"> AS layer by UE</w:t>
      </w:r>
      <w:r w:rsidR="005C682E">
        <w:rPr>
          <w:lang w:val="en-GB"/>
        </w:rPr>
        <w:t>’s</w:t>
      </w:r>
      <w:r w:rsidR="00CB6191">
        <w:rPr>
          <w:lang w:val="en-GB"/>
        </w:rPr>
        <w:t xml:space="preserve"> NAS layer for NAS triggered request</w:t>
      </w:r>
      <w:r w:rsidR="005C682E">
        <w:rPr>
          <w:lang w:val="en-GB"/>
        </w:rPr>
        <w:t>s</w:t>
      </w:r>
      <w:r w:rsidR="00CB6191">
        <w:rPr>
          <w:lang w:val="en-GB"/>
        </w:rPr>
        <w:t xml:space="preserve">. For AS triggered request (i.e. RNA update), the RRC determines the resume cause value and corresponding access category. </w:t>
      </w:r>
      <w:r w:rsidR="00CB6191" w:rsidRPr="00520387">
        <w:t xml:space="preserve">NG-RAN broadcasts barring control information associated with Access Categories and Access Identities and the UE determines whether an identified access attempt is </w:t>
      </w:r>
      <w:r w:rsidR="005C35C2">
        <w:t>barred</w:t>
      </w:r>
      <w:r w:rsidR="005C35C2" w:rsidRPr="00520387">
        <w:t xml:space="preserve"> </w:t>
      </w:r>
      <w:r w:rsidR="00CB6191" w:rsidRPr="00520387">
        <w:t>or not, based on the broadcast barring information and the selected Access Category and Access Identities.</w:t>
      </w:r>
    </w:p>
    <w:p w:rsidR="002331BE" w:rsidRDefault="00456B16" w:rsidP="002331BE">
      <w:pPr>
        <w:jc w:val="center"/>
      </w:pPr>
      <w:r>
        <w:rPr>
          <w:noProof/>
        </w:rPr>
        <w:lastRenderedPageBreak/>
        <w:drawing>
          <wp:inline distT="0" distB="0" distL="0" distR="0">
            <wp:extent cx="3600450" cy="493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09B" w:rsidRDefault="0023009B" w:rsidP="00A721C3">
      <w:pPr>
        <w:jc w:val="left"/>
      </w:pPr>
      <w:r>
        <w:t>For IAB initial access</w:t>
      </w:r>
      <w:r w:rsidR="005C35C2">
        <w:t>,</w:t>
      </w:r>
      <w:r>
        <w:t xml:space="preserve"> </w:t>
      </w:r>
      <w:r w:rsidR="005C35C2">
        <w:t xml:space="preserve">since this event </w:t>
      </w:r>
      <w:r w:rsidR="002331BE">
        <w:rPr>
          <w:rFonts w:hint="eastAsia"/>
        </w:rPr>
        <w:t>could</w:t>
      </w:r>
      <w:r w:rsidR="005C35C2">
        <w:t xml:space="preserve"> occur very infrequently</w:t>
      </w:r>
      <w:r w:rsidR="002331BE">
        <w:rPr>
          <w:rFonts w:hint="eastAsia"/>
        </w:rPr>
        <w:t>, e.g. only when the IAB node just starts up</w:t>
      </w:r>
      <w:r w:rsidR="005C35C2">
        <w:t xml:space="preserve">, </w:t>
      </w:r>
      <w:r w:rsidR="002331BE">
        <w:rPr>
          <w:rFonts w:hint="eastAsia"/>
        </w:rPr>
        <w:t>i</w:t>
      </w:r>
      <w:r>
        <w:t xml:space="preserve">t could be possible that the IAB-MT </w:t>
      </w:r>
      <w:r w:rsidR="005C35C2">
        <w:t xml:space="preserve">simply </w:t>
      </w:r>
      <w:r>
        <w:t>skip</w:t>
      </w:r>
      <w:r w:rsidR="005C682E">
        <w:t>s</w:t>
      </w:r>
      <w:r>
        <w:t xml:space="preserve"> the unified access control </w:t>
      </w:r>
      <w:r w:rsidR="005C35C2">
        <w:t xml:space="preserve">altogether </w:t>
      </w:r>
      <w:r>
        <w:t xml:space="preserve">when initializing </w:t>
      </w:r>
      <w:r w:rsidR="005C682E">
        <w:t xml:space="preserve">the </w:t>
      </w:r>
      <w:r>
        <w:t>RRC connection establishment procedure. Another possibility is that the IAB-MT performs RRC connection establishment as a normal UE</w:t>
      </w:r>
      <w:r w:rsidR="005C35C2">
        <w:t>,</w:t>
      </w:r>
      <w:r>
        <w:t xml:space="preserve"> in which case </w:t>
      </w:r>
      <w:r w:rsidR="005C35C2">
        <w:t xml:space="preserve">it would be subject to </w:t>
      </w:r>
      <w:r>
        <w:t>unified access control.</w:t>
      </w:r>
    </w:p>
    <w:p w:rsidR="0023009B" w:rsidRDefault="0023009B" w:rsidP="0023009B">
      <w:pPr>
        <w:pStyle w:val="Proposal"/>
      </w:pPr>
      <w:r>
        <w:t xml:space="preserve">RAN2 to discuss whether </w:t>
      </w:r>
      <w:r w:rsidR="00AB7342">
        <w:t xml:space="preserve">the </w:t>
      </w:r>
      <w:r>
        <w:t xml:space="preserve">unified access control </w:t>
      </w:r>
      <w:r w:rsidR="005C35C2">
        <w:rPr>
          <w:lang w:val="en-US"/>
        </w:rPr>
        <w:t xml:space="preserve">as defined </w:t>
      </w:r>
      <w:r w:rsidR="00AB7342">
        <w:t xml:space="preserve">in Rel-15 </w:t>
      </w:r>
      <w:r>
        <w:t>is applied to IAB-node or not.</w:t>
      </w:r>
    </w:p>
    <w:p w:rsidR="00CB6191" w:rsidRPr="008C5BB8" w:rsidRDefault="00AB7342" w:rsidP="00A721C3">
      <w:pPr>
        <w:jc w:val="left"/>
        <w:rPr>
          <w:lang w:val="x-none"/>
        </w:rPr>
      </w:pPr>
      <w:r w:rsidRPr="00FC0791">
        <w:t xml:space="preserve">Assuming </w:t>
      </w:r>
      <w:r w:rsidR="005C35C2" w:rsidRPr="00FC0791">
        <w:t xml:space="preserve">for simplicity that the </w:t>
      </w:r>
      <w:r w:rsidRPr="00FC0791">
        <w:t xml:space="preserve">IAB-MT is </w:t>
      </w:r>
      <w:r w:rsidR="005C35C2" w:rsidRPr="00FC0791">
        <w:t>similar to</w:t>
      </w:r>
      <w:r w:rsidRPr="00FC0791">
        <w:t xml:space="preserve"> a normal UE</w:t>
      </w:r>
      <w:r w:rsidR="005C35C2" w:rsidRPr="00FC0791">
        <w:t>, then</w:t>
      </w:r>
      <w:r w:rsidRPr="00FC0791">
        <w:t xml:space="preserve"> the IAB-MT </w:t>
      </w:r>
      <w:r w:rsidR="005C35C2" w:rsidRPr="00FC0791">
        <w:t>should implement a</w:t>
      </w:r>
      <w:r w:rsidRPr="00FC0791">
        <w:t xml:space="preserve"> NAS layer </w:t>
      </w:r>
      <w:r w:rsidR="005C35C2" w:rsidRPr="00FC0791">
        <w:t>(</w:t>
      </w:r>
      <w:r w:rsidRPr="00FC0791">
        <w:t>same as a normal UE</w:t>
      </w:r>
      <w:r w:rsidR="005C35C2" w:rsidRPr="00FC0791">
        <w:t>)</w:t>
      </w:r>
      <w:r w:rsidRPr="00FC0791">
        <w:t>. When performing</w:t>
      </w:r>
      <w:r w:rsidR="005C35C2" w:rsidRPr="00FC0791">
        <w:t xml:space="preserve"> the</w:t>
      </w:r>
      <w:r w:rsidRPr="00FC0791">
        <w:t xml:space="preserve"> initial access procedure, the IAB-MT NAS triggers </w:t>
      </w:r>
      <w:r w:rsidR="005C35C2" w:rsidRPr="00FC0791">
        <w:t xml:space="preserve">an </w:t>
      </w:r>
      <w:r w:rsidRPr="00FC0791">
        <w:t xml:space="preserve">Attach Request procedure. </w:t>
      </w:r>
      <w:r w:rsidR="0023009B" w:rsidRPr="00FC0791">
        <w:t xml:space="preserve">If unified access control is applied to </w:t>
      </w:r>
      <w:r w:rsidR="005C35C2" w:rsidRPr="00FC0791">
        <w:t>the</w:t>
      </w:r>
      <w:r w:rsidR="005C682E" w:rsidRPr="00FC0791">
        <w:t xml:space="preserve"> </w:t>
      </w:r>
      <w:r w:rsidR="0023009B" w:rsidRPr="00FC0791">
        <w:t>IAB-node, as a normal UE</w:t>
      </w:r>
      <w:r w:rsidR="00703C3D" w:rsidRPr="00FC0791">
        <w:t>, the</w:t>
      </w:r>
      <w:r w:rsidR="005C682E" w:rsidRPr="00FC0791">
        <w:t>n</w:t>
      </w:r>
      <w:r w:rsidR="00703C3D" w:rsidRPr="00FC0791">
        <w:t xml:space="preserve"> </w:t>
      </w:r>
      <w:r w:rsidRPr="00FC0791">
        <w:t xml:space="preserve">when </w:t>
      </w:r>
      <w:r w:rsidR="005C35C2" w:rsidRPr="00FC0791">
        <w:t xml:space="preserve">the </w:t>
      </w:r>
      <w:r w:rsidRPr="00FC0791">
        <w:t xml:space="preserve">IAB-MT </w:t>
      </w:r>
      <w:r w:rsidR="00703C3D" w:rsidRPr="00FC0791">
        <w:t>NAS trigger</w:t>
      </w:r>
      <w:r w:rsidRPr="00FC0791">
        <w:t>s</w:t>
      </w:r>
      <w:r w:rsidR="00703C3D" w:rsidRPr="00FC0791">
        <w:t xml:space="preserve"> </w:t>
      </w:r>
      <w:r w:rsidR="005C682E" w:rsidRPr="00FC0791">
        <w:t xml:space="preserve">the </w:t>
      </w:r>
      <w:r w:rsidR="00703C3D" w:rsidRPr="00FC0791">
        <w:t xml:space="preserve">Attach Request procedure, </w:t>
      </w:r>
      <w:r w:rsidRPr="00FC0791">
        <w:t xml:space="preserve">the IAB-MT NAS </w:t>
      </w:r>
      <w:r w:rsidR="00A56DE5" w:rsidRPr="00FC0791">
        <w:t xml:space="preserve">can </w:t>
      </w:r>
      <w:r w:rsidR="00703C3D" w:rsidRPr="00FC0791">
        <w:t xml:space="preserve">provide Access Category 3 (MO signalling on NAS level resulting from other than paging) to </w:t>
      </w:r>
      <w:r w:rsidR="005C682E" w:rsidRPr="00FC0791">
        <w:t xml:space="preserve">the </w:t>
      </w:r>
      <w:r w:rsidR="00703C3D" w:rsidRPr="00FC0791">
        <w:t>AS layer</w:t>
      </w:r>
      <w:r w:rsidR="00703C3D">
        <w:t>.</w:t>
      </w:r>
      <w:r>
        <w:rPr>
          <w:lang w:val="x-none"/>
        </w:rPr>
        <w:t xml:space="preserve"> </w:t>
      </w:r>
      <w:r w:rsidR="008C5BB8">
        <w:t>T</w:t>
      </w:r>
      <w:r w:rsidR="008C5BB8">
        <w:rPr>
          <w:lang w:val="x-none"/>
        </w:rPr>
        <w:t>he</w:t>
      </w:r>
      <w:r w:rsidR="00FC0791">
        <w:t>n</w:t>
      </w:r>
      <w:r>
        <w:rPr>
          <w:lang w:val="x-none"/>
        </w:rPr>
        <w:t xml:space="preserve"> IAB-MT RRC uses the Access Category 3 for unified access control. However, whether the IAB-MT has the same NAS </w:t>
      </w:r>
      <w:r w:rsidR="005C35C2">
        <w:t>functionality</w:t>
      </w:r>
      <w:r>
        <w:rPr>
          <w:lang w:val="x-none"/>
        </w:rPr>
        <w:t xml:space="preserve"> as a normal UE</w:t>
      </w:r>
      <w:r w:rsidR="005C35C2">
        <w:t>,</w:t>
      </w:r>
      <w:r>
        <w:rPr>
          <w:lang w:val="x-none"/>
        </w:rPr>
        <w:t xml:space="preserve"> and which Access Category should be provided by NAS to AS layer should </w:t>
      </w:r>
      <w:r w:rsidR="00A56DE5">
        <w:t xml:space="preserve">really </w:t>
      </w:r>
      <w:r>
        <w:rPr>
          <w:lang w:val="x-none"/>
        </w:rPr>
        <w:t>be discussed by CT1.</w:t>
      </w:r>
    </w:p>
    <w:p w:rsidR="0023009B" w:rsidRDefault="0023009B" w:rsidP="00A721C3">
      <w:pPr>
        <w:jc w:val="left"/>
      </w:pPr>
      <w:r>
        <w:t xml:space="preserve">Another issue is </w:t>
      </w:r>
      <w:r w:rsidR="005C682E">
        <w:t xml:space="preserve">which </w:t>
      </w:r>
      <w:r>
        <w:t xml:space="preserve">Access Identity </w:t>
      </w:r>
      <w:r w:rsidR="005C682E">
        <w:t xml:space="preserve">should be assumed </w:t>
      </w:r>
      <w:r>
        <w:t xml:space="preserve">for </w:t>
      </w:r>
      <w:r w:rsidR="005C682E">
        <w:t xml:space="preserve">an </w:t>
      </w:r>
      <w:r>
        <w:t xml:space="preserve">IAB node. Access identities are configured </w:t>
      </w:r>
      <w:r w:rsidR="005C682E">
        <w:t xml:space="preserve">to </w:t>
      </w:r>
      <w:r>
        <w:t xml:space="preserve">the UE. Following </w:t>
      </w:r>
      <w:r w:rsidR="005C682E">
        <w:t xml:space="preserve">this </w:t>
      </w:r>
      <w:r>
        <w:t>principle, the Access Identities should a</w:t>
      </w:r>
      <w:r w:rsidR="00EE2392">
        <w:t>lso be configured at the IAB-MT.</w:t>
      </w:r>
    </w:p>
    <w:p w:rsidR="00EE2392" w:rsidRDefault="00EE2392" w:rsidP="008C47C5">
      <w:pPr>
        <w:pStyle w:val="Observation"/>
        <w:ind w:left="1701" w:hanging="1701"/>
        <w:jc w:val="left"/>
      </w:pPr>
      <w:r>
        <w:t xml:space="preserve">If unified access control is applied to </w:t>
      </w:r>
      <w:r w:rsidR="005C682E">
        <w:t xml:space="preserve">an </w:t>
      </w:r>
      <w:r>
        <w:t xml:space="preserve">IAB-node, which access category and access identity is used </w:t>
      </w:r>
      <w:r w:rsidR="005C682E">
        <w:t xml:space="preserve">by the </w:t>
      </w:r>
      <w:r>
        <w:t>IAB-node should be discussed.</w:t>
      </w:r>
    </w:p>
    <w:p w:rsidR="002B3690" w:rsidRPr="00EE2392" w:rsidRDefault="00EE2392" w:rsidP="00EE2392">
      <w:pPr>
        <w:jc w:val="left"/>
      </w:pPr>
      <w:r w:rsidRPr="00EE2392">
        <w:t>In NR, the UE</w:t>
      </w:r>
      <w:r w:rsidR="005C682E">
        <w:t>’s</w:t>
      </w:r>
      <w:r w:rsidRPr="00EE2392">
        <w:t xml:space="preserve"> NAS also </w:t>
      </w:r>
      <w:r w:rsidRPr="00520387">
        <w:t>provides the establishment cause to RRC for inclusion in connection request</w:t>
      </w:r>
      <w:r w:rsidR="005C682E">
        <w:t>, in order</w:t>
      </w:r>
      <w:r w:rsidRPr="00520387">
        <w:t xml:space="preserve"> to enable the gNB to decide whether to </w:t>
      </w:r>
      <w:r w:rsidR="005C682E">
        <w:t xml:space="preserve">accept or </w:t>
      </w:r>
      <w:r w:rsidRPr="00520387">
        <w:t>reject the request</w:t>
      </w:r>
      <w:r>
        <w:t xml:space="preserve">. </w:t>
      </w:r>
      <w:r w:rsidR="005C682E">
        <w:t xml:space="preserve">Supported </w:t>
      </w:r>
      <w:r>
        <w:t>RRC cause value</w:t>
      </w:r>
      <w:r w:rsidR="005C682E">
        <w:t>s</w:t>
      </w:r>
      <w:r>
        <w:t xml:space="preserve"> include</w:t>
      </w:r>
      <w:r w:rsidR="005C682E">
        <w:t>:</w:t>
      </w:r>
      <w:r>
        <w:t xml:space="preserve"> </w:t>
      </w:r>
      <w:r w:rsidRPr="00EE2392">
        <w:t>emergency, highPriorityAccess, mt-Access, mo-Signalling, mo-Data, mo-VoiceCall, mo-VideoCall, mo-SMS, mps-PriorityAccess, mcs-PriorityAccess</w:t>
      </w:r>
      <w:r w:rsidR="008C47C5">
        <w:t>. Which cause value should be used for IAB-node RRC connection establishment should also be discussed.</w:t>
      </w:r>
    </w:p>
    <w:p w:rsidR="008C47C5" w:rsidRDefault="008C47C5" w:rsidP="008C47C5">
      <w:pPr>
        <w:pStyle w:val="Observation"/>
        <w:ind w:left="1701" w:hanging="1701"/>
        <w:jc w:val="left"/>
      </w:pPr>
      <w:r>
        <w:lastRenderedPageBreak/>
        <w:t xml:space="preserve">Which RRC cause value is used for IAB-node RRC connection </w:t>
      </w:r>
      <w:r w:rsidR="006A5207">
        <w:t>establishment</w:t>
      </w:r>
      <w:r>
        <w:t xml:space="preserve"> should be discussed.</w:t>
      </w:r>
    </w:p>
    <w:p w:rsidR="00B50D68" w:rsidRPr="008C5BB8" w:rsidRDefault="008C47C5" w:rsidP="008C47C5">
      <w:pPr>
        <w:pStyle w:val="Proposal"/>
        <w:rPr>
          <w:lang w:val="en-GB"/>
        </w:rPr>
      </w:pPr>
      <w:r>
        <w:t xml:space="preserve">If unified access control is applied to IAB-node, </w:t>
      </w:r>
      <w:r w:rsidR="006A5207">
        <w:t>it is proposed to ask CT1 to discuss access category</w:t>
      </w:r>
      <w:r w:rsidR="00AB7342">
        <w:t xml:space="preserve"> and </w:t>
      </w:r>
      <w:r w:rsidR="006A5207">
        <w:t xml:space="preserve">access identify </w:t>
      </w:r>
      <w:r w:rsidR="00B50D68">
        <w:t>used for IAB-node.</w:t>
      </w:r>
    </w:p>
    <w:p w:rsidR="00AB7342" w:rsidRPr="00B50D68" w:rsidRDefault="00AB7342" w:rsidP="008C47C5">
      <w:pPr>
        <w:pStyle w:val="Proposal"/>
        <w:rPr>
          <w:lang w:val="en-GB"/>
        </w:rPr>
      </w:pPr>
      <w:r>
        <w:rPr>
          <w:lang w:val="en-GB"/>
        </w:rPr>
        <w:t xml:space="preserve">RAN2 to discuss </w:t>
      </w:r>
      <w:r>
        <w:t>which RRC cause value should be used for IAB-node RRC connection establishment.</w:t>
      </w:r>
    </w:p>
    <w:p w:rsidR="00600F12" w:rsidRDefault="00CB19F6" w:rsidP="00600F12">
      <w:pPr>
        <w:pStyle w:val="1"/>
        <w:rPr>
          <w:rFonts w:eastAsia="宋体"/>
        </w:rPr>
      </w:pPr>
      <w:r w:rsidRPr="00600F12">
        <w:rPr>
          <w:rFonts w:eastAsia="宋体"/>
        </w:rPr>
        <w:t>Conclusion</w:t>
      </w:r>
    </w:p>
    <w:p w:rsidR="00600F12" w:rsidRPr="00600F12" w:rsidRDefault="00600F12" w:rsidP="00600F12">
      <w:pPr>
        <w:rPr>
          <w:lang w:val="en-GB"/>
        </w:rPr>
      </w:pPr>
      <w:r>
        <w:rPr>
          <w:lang w:val="en-GB"/>
        </w:rPr>
        <w:t>This paper discusses cell selection and cell reselection for an IAB node, and we propose:</w:t>
      </w:r>
    </w:p>
    <w:p w:rsidR="00544268" w:rsidRPr="00544268" w:rsidRDefault="00544268" w:rsidP="00544268">
      <w:pPr>
        <w:pStyle w:val="Proposal"/>
        <w:numPr>
          <w:ilvl w:val="0"/>
          <w:numId w:val="0"/>
        </w:numPr>
        <w:ind w:left="1304" w:hanging="1304"/>
        <w:jc w:val="left"/>
        <w:rPr>
          <w:lang w:val="en-GB"/>
        </w:rPr>
      </w:pPr>
      <w:r w:rsidRPr="00544268">
        <w:rPr>
          <w:lang w:val="en-GB"/>
        </w:rPr>
        <w:t>Observation 1</w:t>
      </w:r>
      <w:r w:rsidRPr="00544268">
        <w:rPr>
          <w:lang w:val="en-GB"/>
        </w:rPr>
        <w:tab/>
        <w:t>If unified access control is applied to an IAB-node, which access category and access identity is used by the IAB-node should be discussed.</w:t>
      </w:r>
    </w:p>
    <w:p w:rsidR="00544268" w:rsidRPr="00544268" w:rsidRDefault="00544268" w:rsidP="00544268">
      <w:pPr>
        <w:pStyle w:val="Proposal"/>
        <w:numPr>
          <w:ilvl w:val="0"/>
          <w:numId w:val="0"/>
        </w:numPr>
        <w:ind w:left="1304" w:hanging="1304"/>
        <w:jc w:val="left"/>
        <w:rPr>
          <w:lang w:val="en-GB"/>
        </w:rPr>
      </w:pPr>
      <w:r w:rsidRPr="00544268">
        <w:rPr>
          <w:lang w:val="en-GB"/>
        </w:rPr>
        <w:t>Observation 2</w:t>
      </w:r>
      <w:r w:rsidRPr="00544268">
        <w:rPr>
          <w:lang w:val="en-GB"/>
        </w:rPr>
        <w:tab/>
        <w:t>Which RRC cause value is used for IAB-node RRC connection establishment should be discussed.</w:t>
      </w:r>
    </w:p>
    <w:p w:rsidR="00544268" w:rsidRDefault="00544268" w:rsidP="00544268">
      <w:pPr>
        <w:pStyle w:val="Proposal"/>
        <w:numPr>
          <w:ilvl w:val="0"/>
          <w:numId w:val="0"/>
        </w:numPr>
        <w:ind w:left="1304" w:hanging="1304"/>
        <w:jc w:val="left"/>
      </w:pPr>
    </w:p>
    <w:p w:rsidR="00544268" w:rsidRDefault="00544268" w:rsidP="00544268">
      <w:pPr>
        <w:pStyle w:val="Proposal"/>
        <w:numPr>
          <w:ilvl w:val="0"/>
          <w:numId w:val="27"/>
        </w:numPr>
      </w:pPr>
      <w:r>
        <w:t xml:space="preserve">RAN2 to discuss whether the unified access control </w:t>
      </w:r>
      <w:r w:rsidRPr="00544268">
        <w:rPr>
          <w:lang w:val="en-US"/>
        </w:rPr>
        <w:t xml:space="preserve">as defined </w:t>
      </w:r>
      <w:r>
        <w:t>in Rel-15 is applied to IAB-node or not.</w:t>
      </w:r>
    </w:p>
    <w:p w:rsidR="00544268" w:rsidRPr="008C5BB8" w:rsidRDefault="00544268" w:rsidP="00544268">
      <w:pPr>
        <w:pStyle w:val="Proposal"/>
        <w:rPr>
          <w:lang w:val="en-GB"/>
        </w:rPr>
      </w:pPr>
      <w:r>
        <w:t>If unified access control is applied to IAB-node, it is proposed to ask CT1 to discuss access category and access identify used for IAB-node.</w:t>
      </w:r>
    </w:p>
    <w:p w:rsidR="00F97B45" w:rsidRPr="00544268" w:rsidRDefault="00544268" w:rsidP="00544268">
      <w:pPr>
        <w:pStyle w:val="Proposal"/>
        <w:rPr>
          <w:lang w:val="en-GB"/>
        </w:rPr>
      </w:pPr>
      <w:r>
        <w:rPr>
          <w:lang w:val="en-GB"/>
        </w:rPr>
        <w:t xml:space="preserve">RAN2 to discuss </w:t>
      </w:r>
      <w:r>
        <w:t>which RRC cause value should be used for IAB-node RRC connection establishment.</w:t>
      </w:r>
      <w:bookmarkStart w:id="2" w:name="_GoBack"/>
      <w:bookmarkEnd w:id="2"/>
    </w:p>
    <w:p w:rsidR="005F239D" w:rsidRPr="009061CF" w:rsidRDefault="00737BB5" w:rsidP="009061CF">
      <w:pPr>
        <w:pStyle w:val="1"/>
        <w:rPr>
          <w:rFonts w:eastAsia="宋体"/>
        </w:rPr>
      </w:pPr>
      <w:r w:rsidRPr="009061CF">
        <w:rPr>
          <w:rFonts w:eastAsia="宋体"/>
        </w:rPr>
        <w:t>Reference</w:t>
      </w:r>
    </w:p>
    <w:p w:rsidR="006B2C07" w:rsidRPr="00600F12" w:rsidRDefault="002E16A8" w:rsidP="006B2C07">
      <w:pPr>
        <w:rPr>
          <w:lang w:val="en-GB"/>
        </w:rPr>
      </w:pPr>
      <w:r w:rsidRPr="00600F12">
        <w:rPr>
          <w:lang w:val="en-GB"/>
        </w:rPr>
        <w:t>[1] RP-182882. New WID: Integrated Acces</w:t>
      </w:r>
      <w:r w:rsidR="00E30E29">
        <w:rPr>
          <w:lang w:val="en-GB"/>
        </w:rPr>
        <w:t>s and Backhaul for NR. Qualcomm</w:t>
      </w:r>
    </w:p>
    <w:bookmarkEnd w:id="0"/>
    <w:bookmarkEnd w:id="1"/>
    <w:p w:rsidR="00BC09BA" w:rsidRPr="00600F12" w:rsidRDefault="00BC09BA" w:rsidP="00BC09BA">
      <w:pPr>
        <w:rPr>
          <w:lang w:val="en-GB"/>
        </w:rPr>
      </w:pPr>
    </w:p>
    <w:sectPr w:rsidR="00BC09BA" w:rsidRPr="00600F12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CF3" w:rsidRDefault="00F04CF3" w:rsidP="00796430">
      <w:r>
        <w:separator/>
      </w:r>
    </w:p>
  </w:endnote>
  <w:endnote w:type="continuationSeparator" w:id="0">
    <w:p w:rsidR="00F04CF3" w:rsidRDefault="00F04CF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AE" w:rsidRDefault="008471AE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C4364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C4364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CF3" w:rsidRDefault="00F04CF3" w:rsidP="00796430">
      <w:r>
        <w:separator/>
      </w:r>
    </w:p>
  </w:footnote>
  <w:footnote w:type="continuationSeparator" w:id="0">
    <w:p w:rsidR="00F04CF3" w:rsidRDefault="00F04CF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1AE" w:rsidRDefault="008471AE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EFE8A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B942A0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9FA1B0E"/>
    <w:multiLevelType w:val="hybridMultilevel"/>
    <w:tmpl w:val="9A6CBD0A"/>
    <w:lvl w:ilvl="0" w:tplc="A13E6BE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1432116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17CD8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7AEE72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73EF8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4BE89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214A91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A0DD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278C7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240B4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9" w15:restartNumberingAfterBreak="0">
    <w:nsid w:val="3D594ADB"/>
    <w:multiLevelType w:val="hybridMultilevel"/>
    <w:tmpl w:val="E51855BE"/>
    <w:lvl w:ilvl="0" w:tplc="E83040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EFF60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E49B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1E82D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4A4EA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2AA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DACF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629DC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4B0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E7207A7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A8D68D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A840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FAD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F2C47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B7805D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F0D2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03A84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5C06A7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48B0453A"/>
    <w:multiLevelType w:val="multilevel"/>
    <w:tmpl w:val="281E86BE"/>
    <w:numStyleLink w:val="Recommendation"/>
  </w:abstractNum>
  <w:abstractNum w:abstractNumId="12" w15:restartNumberingAfterBreak="0">
    <w:nsid w:val="4AA97BD5"/>
    <w:multiLevelType w:val="hybridMultilevel"/>
    <w:tmpl w:val="75BE7D3E"/>
    <w:lvl w:ilvl="0" w:tplc="0772F556">
      <w:start w:val="1"/>
      <w:numFmt w:val="bullet"/>
      <w:lvlText w:val="-"/>
      <w:lvlJc w:val="left"/>
      <w:pPr>
        <w:ind w:left="644" w:hanging="360"/>
      </w:pPr>
      <w:rPr>
        <w:rFonts w:ascii="Arial" w:eastAsia="Dotu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40A6919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F88D360" w:tentative="1">
      <w:start w:val="1"/>
      <w:numFmt w:val="lowerLetter"/>
      <w:lvlText w:val="%2."/>
      <w:lvlJc w:val="left"/>
      <w:pPr>
        <w:ind w:left="1440" w:hanging="360"/>
      </w:pPr>
    </w:lvl>
    <w:lvl w:ilvl="2" w:tplc="AC4204D4" w:tentative="1">
      <w:start w:val="1"/>
      <w:numFmt w:val="lowerRoman"/>
      <w:lvlText w:val="%3."/>
      <w:lvlJc w:val="right"/>
      <w:pPr>
        <w:ind w:left="2160" w:hanging="180"/>
      </w:pPr>
    </w:lvl>
    <w:lvl w:ilvl="3" w:tplc="9B547E16" w:tentative="1">
      <w:start w:val="1"/>
      <w:numFmt w:val="decimal"/>
      <w:lvlText w:val="%4."/>
      <w:lvlJc w:val="left"/>
      <w:pPr>
        <w:ind w:left="2880" w:hanging="360"/>
      </w:pPr>
    </w:lvl>
    <w:lvl w:ilvl="4" w:tplc="BA6AE8D2" w:tentative="1">
      <w:start w:val="1"/>
      <w:numFmt w:val="lowerLetter"/>
      <w:lvlText w:val="%5."/>
      <w:lvlJc w:val="left"/>
      <w:pPr>
        <w:ind w:left="3600" w:hanging="360"/>
      </w:pPr>
    </w:lvl>
    <w:lvl w:ilvl="5" w:tplc="710C4938" w:tentative="1">
      <w:start w:val="1"/>
      <w:numFmt w:val="lowerRoman"/>
      <w:lvlText w:val="%6."/>
      <w:lvlJc w:val="right"/>
      <w:pPr>
        <w:ind w:left="4320" w:hanging="180"/>
      </w:pPr>
    </w:lvl>
    <w:lvl w:ilvl="6" w:tplc="5DCA653E" w:tentative="1">
      <w:start w:val="1"/>
      <w:numFmt w:val="decimal"/>
      <w:lvlText w:val="%7."/>
      <w:lvlJc w:val="left"/>
      <w:pPr>
        <w:ind w:left="5040" w:hanging="360"/>
      </w:pPr>
    </w:lvl>
    <w:lvl w:ilvl="7" w:tplc="5C7441B0" w:tentative="1">
      <w:start w:val="1"/>
      <w:numFmt w:val="lowerLetter"/>
      <w:lvlText w:val="%8."/>
      <w:lvlJc w:val="left"/>
      <w:pPr>
        <w:ind w:left="5760" w:hanging="360"/>
      </w:pPr>
    </w:lvl>
    <w:lvl w:ilvl="8" w:tplc="8F0AD6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F52A81"/>
    <w:multiLevelType w:val="hybridMultilevel"/>
    <w:tmpl w:val="A016EECC"/>
    <w:lvl w:ilvl="0" w:tplc="722095F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78B8C7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45F4EF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536C1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D472A5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08065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5C023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51F237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E1A4FB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648E5520"/>
    <w:multiLevelType w:val="hybridMultilevel"/>
    <w:tmpl w:val="7E5AC46C"/>
    <w:lvl w:ilvl="0" w:tplc="A63012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025006"/>
    <w:multiLevelType w:val="hybridMultilevel"/>
    <w:tmpl w:val="D86EAFD6"/>
    <w:lvl w:ilvl="0" w:tplc="7FC4FAF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7"/>
  </w:num>
  <w:num w:numId="8">
    <w:abstractNumId w:val="4"/>
  </w:num>
  <w:num w:numId="9">
    <w:abstractNumId w:val="14"/>
  </w:num>
  <w:num w:numId="10">
    <w:abstractNumId w:val="15"/>
    <w:lvlOverride w:ilvl="0">
      <w:startOverride w:val="1"/>
    </w:lvlOverride>
  </w:num>
  <w:num w:numId="11">
    <w:abstractNumId w:val="3"/>
  </w:num>
  <w:num w:numId="12">
    <w:abstractNumId w:val="11"/>
  </w:num>
  <w:num w:numId="13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5"/>
  </w:num>
  <w:num w:numId="16">
    <w:abstractNumId w:val="1"/>
  </w:num>
  <w:num w:numId="17">
    <w:abstractNumId w:val="0"/>
  </w:num>
  <w:num w:numId="18">
    <w:abstractNumId w:val="12"/>
  </w:num>
  <w:num w:numId="19">
    <w:abstractNumId w:val="5"/>
  </w:num>
  <w:num w:numId="20">
    <w:abstractNumId w:val="18"/>
  </w:num>
  <w:num w:numId="21">
    <w:abstractNumId w:val="17"/>
  </w:num>
  <w:num w:numId="22">
    <w:abstractNumId w:val="17"/>
    <w:lvlOverride w:ilvl="0">
      <w:startOverride w:val="1"/>
    </w:lvlOverride>
  </w:num>
  <w:num w:numId="23">
    <w:abstractNumId w:val="9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2"/>
  </w:num>
  <w:num w:numId="27">
    <w:abstractNumId w:val="17"/>
    <w:lvlOverride w:ilvl="0">
      <w:startOverride w:val="1"/>
    </w:lvlOverride>
  </w:num>
  <w:num w:numId="28">
    <w:abstractNumId w:val="14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A94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B28"/>
    <w:rsid w:val="00020D94"/>
    <w:rsid w:val="00021259"/>
    <w:rsid w:val="0002156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97F0B"/>
    <w:rsid w:val="000A022F"/>
    <w:rsid w:val="000A0BAE"/>
    <w:rsid w:val="000A0D0D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4C"/>
    <w:rsid w:val="000C3651"/>
    <w:rsid w:val="000C3ED9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44B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62C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4213"/>
    <w:rsid w:val="001558AA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A3"/>
    <w:rsid w:val="001940A4"/>
    <w:rsid w:val="001944AD"/>
    <w:rsid w:val="00194B2E"/>
    <w:rsid w:val="00194EA5"/>
    <w:rsid w:val="001951F2"/>
    <w:rsid w:val="00195206"/>
    <w:rsid w:val="0019550D"/>
    <w:rsid w:val="001956DF"/>
    <w:rsid w:val="00195A92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9B2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1F7AE1"/>
    <w:rsid w:val="002001C2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2016E"/>
    <w:rsid w:val="00220717"/>
    <w:rsid w:val="00220A6D"/>
    <w:rsid w:val="00220AF0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09B"/>
    <w:rsid w:val="002301F6"/>
    <w:rsid w:val="00230250"/>
    <w:rsid w:val="00230280"/>
    <w:rsid w:val="00230351"/>
    <w:rsid w:val="0023078D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31BE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A66"/>
    <w:rsid w:val="00236B4F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690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B6"/>
    <w:rsid w:val="002E75BE"/>
    <w:rsid w:val="002E76FA"/>
    <w:rsid w:val="002E788A"/>
    <w:rsid w:val="002E78F8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70C"/>
    <w:rsid w:val="002F4506"/>
    <w:rsid w:val="002F4578"/>
    <w:rsid w:val="002F47BF"/>
    <w:rsid w:val="002F5891"/>
    <w:rsid w:val="002F5C32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44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C86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5484"/>
    <w:rsid w:val="00355920"/>
    <w:rsid w:val="00355B80"/>
    <w:rsid w:val="00355E2E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79C"/>
    <w:rsid w:val="00366BCD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8FA"/>
    <w:rsid w:val="0039794B"/>
    <w:rsid w:val="003A035D"/>
    <w:rsid w:val="003A067D"/>
    <w:rsid w:val="003A0771"/>
    <w:rsid w:val="003A0C00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976"/>
    <w:rsid w:val="003A5BD8"/>
    <w:rsid w:val="003A65BD"/>
    <w:rsid w:val="003A67D2"/>
    <w:rsid w:val="003A6A0C"/>
    <w:rsid w:val="003A6DA5"/>
    <w:rsid w:val="003A7326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5E49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CA1"/>
    <w:rsid w:val="003D6D5F"/>
    <w:rsid w:val="003D7216"/>
    <w:rsid w:val="003D736B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337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88D"/>
    <w:rsid w:val="00404224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9FE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C95"/>
    <w:rsid w:val="00436F8D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7E5"/>
    <w:rsid w:val="00455D30"/>
    <w:rsid w:val="00456218"/>
    <w:rsid w:val="004563CC"/>
    <w:rsid w:val="0045667F"/>
    <w:rsid w:val="004569CB"/>
    <w:rsid w:val="00456AF9"/>
    <w:rsid w:val="00456B16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87D2E"/>
    <w:rsid w:val="0049028A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4B19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2924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59"/>
    <w:rsid w:val="00505B82"/>
    <w:rsid w:val="0050611A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507B"/>
    <w:rsid w:val="005252F1"/>
    <w:rsid w:val="0052560F"/>
    <w:rsid w:val="00525BC2"/>
    <w:rsid w:val="00526522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30367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30A"/>
    <w:rsid w:val="005373B0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268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50216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5C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5C2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82E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12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D53"/>
    <w:rsid w:val="006763C1"/>
    <w:rsid w:val="00676A76"/>
    <w:rsid w:val="00676A8D"/>
    <w:rsid w:val="00676BBD"/>
    <w:rsid w:val="00676BF2"/>
    <w:rsid w:val="0067734E"/>
    <w:rsid w:val="006774A6"/>
    <w:rsid w:val="006774E8"/>
    <w:rsid w:val="006779A3"/>
    <w:rsid w:val="00677D2D"/>
    <w:rsid w:val="00680C92"/>
    <w:rsid w:val="00681774"/>
    <w:rsid w:val="00681AD4"/>
    <w:rsid w:val="00681CCF"/>
    <w:rsid w:val="0068229F"/>
    <w:rsid w:val="006823CA"/>
    <w:rsid w:val="006825CC"/>
    <w:rsid w:val="0068336E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E81"/>
    <w:rsid w:val="006A50FE"/>
    <w:rsid w:val="006A5207"/>
    <w:rsid w:val="006A5EAE"/>
    <w:rsid w:val="006A6260"/>
    <w:rsid w:val="006A67C6"/>
    <w:rsid w:val="006A6F38"/>
    <w:rsid w:val="006A75D6"/>
    <w:rsid w:val="006A7A03"/>
    <w:rsid w:val="006A7DE2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2355"/>
    <w:rsid w:val="006C30C0"/>
    <w:rsid w:val="006C31D4"/>
    <w:rsid w:val="006C3781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3D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4CBB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2E"/>
    <w:rsid w:val="00725BB0"/>
    <w:rsid w:val="00725C96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161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5B7"/>
    <w:rsid w:val="007977D0"/>
    <w:rsid w:val="007A0117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E62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C1A"/>
    <w:rsid w:val="007D487B"/>
    <w:rsid w:val="007D4CC2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730"/>
    <w:rsid w:val="007F1D3F"/>
    <w:rsid w:val="007F26F5"/>
    <w:rsid w:val="007F29C3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D6B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A7A"/>
    <w:rsid w:val="00820F3D"/>
    <w:rsid w:val="0082151E"/>
    <w:rsid w:val="008225ED"/>
    <w:rsid w:val="0082289D"/>
    <w:rsid w:val="00822912"/>
    <w:rsid w:val="0082384A"/>
    <w:rsid w:val="008239A1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858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76D"/>
    <w:rsid w:val="008659DE"/>
    <w:rsid w:val="00865B10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1BE"/>
    <w:rsid w:val="008C479A"/>
    <w:rsid w:val="008C47C5"/>
    <w:rsid w:val="008C493D"/>
    <w:rsid w:val="008C4E7E"/>
    <w:rsid w:val="008C570F"/>
    <w:rsid w:val="008C57BD"/>
    <w:rsid w:val="008C5980"/>
    <w:rsid w:val="008C5BB8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C56"/>
    <w:rsid w:val="00905CC3"/>
    <w:rsid w:val="00905D2E"/>
    <w:rsid w:val="00905E41"/>
    <w:rsid w:val="009061CF"/>
    <w:rsid w:val="0090628B"/>
    <w:rsid w:val="00906739"/>
    <w:rsid w:val="00907432"/>
    <w:rsid w:val="00907680"/>
    <w:rsid w:val="009076F3"/>
    <w:rsid w:val="00907AF9"/>
    <w:rsid w:val="0091021C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59F6"/>
    <w:rsid w:val="009471CE"/>
    <w:rsid w:val="009476B2"/>
    <w:rsid w:val="00947F9C"/>
    <w:rsid w:val="00950B6A"/>
    <w:rsid w:val="00950B73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7039"/>
    <w:rsid w:val="009673C4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441"/>
    <w:rsid w:val="009B6B84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B20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2FC5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A71"/>
    <w:rsid w:val="009D5D09"/>
    <w:rsid w:val="009D6EAB"/>
    <w:rsid w:val="009D6EF7"/>
    <w:rsid w:val="009D7311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2D6A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768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6DE5"/>
    <w:rsid w:val="00A57155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1C3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342"/>
    <w:rsid w:val="00AB747C"/>
    <w:rsid w:val="00AB7A1B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364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19CE"/>
    <w:rsid w:val="00AD2100"/>
    <w:rsid w:val="00AD272E"/>
    <w:rsid w:val="00AD2761"/>
    <w:rsid w:val="00AD3215"/>
    <w:rsid w:val="00AD37F4"/>
    <w:rsid w:val="00AD3EFD"/>
    <w:rsid w:val="00AD4CC4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E7CD8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A9B"/>
    <w:rsid w:val="00AF4CEF"/>
    <w:rsid w:val="00AF5191"/>
    <w:rsid w:val="00AF5E63"/>
    <w:rsid w:val="00AF5FE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261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0D05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61D8"/>
    <w:rsid w:val="00B26370"/>
    <w:rsid w:val="00B2679A"/>
    <w:rsid w:val="00B2715D"/>
    <w:rsid w:val="00B2760D"/>
    <w:rsid w:val="00B277A9"/>
    <w:rsid w:val="00B2789A"/>
    <w:rsid w:val="00B279DF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8D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9EA"/>
    <w:rsid w:val="00B50CC9"/>
    <w:rsid w:val="00B50D68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3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07B73"/>
    <w:rsid w:val="00C100AB"/>
    <w:rsid w:val="00C10DB0"/>
    <w:rsid w:val="00C11D94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39B0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D73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C1D"/>
    <w:rsid w:val="00C56E02"/>
    <w:rsid w:val="00C6002E"/>
    <w:rsid w:val="00C6027D"/>
    <w:rsid w:val="00C60327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317D"/>
    <w:rsid w:val="00C73300"/>
    <w:rsid w:val="00C7365C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A22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996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CAE"/>
    <w:rsid w:val="00CB5FFE"/>
    <w:rsid w:val="00CB6191"/>
    <w:rsid w:val="00CB623F"/>
    <w:rsid w:val="00CB643E"/>
    <w:rsid w:val="00CB654B"/>
    <w:rsid w:val="00CB6CB7"/>
    <w:rsid w:val="00CB70C5"/>
    <w:rsid w:val="00CB71B4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97D"/>
    <w:rsid w:val="00CC2A7D"/>
    <w:rsid w:val="00CC2E01"/>
    <w:rsid w:val="00CC32A8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D00F58"/>
    <w:rsid w:val="00D00F6F"/>
    <w:rsid w:val="00D00FC7"/>
    <w:rsid w:val="00D010D1"/>
    <w:rsid w:val="00D0111D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983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813"/>
    <w:rsid w:val="00D41923"/>
    <w:rsid w:val="00D428F4"/>
    <w:rsid w:val="00D42D1B"/>
    <w:rsid w:val="00D431A5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5C30"/>
    <w:rsid w:val="00D65DD1"/>
    <w:rsid w:val="00D662C5"/>
    <w:rsid w:val="00D66797"/>
    <w:rsid w:val="00D6736A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82"/>
    <w:rsid w:val="00DE0897"/>
    <w:rsid w:val="00DE11B1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197"/>
    <w:rsid w:val="00DF33B2"/>
    <w:rsid w:val="00DF3849"/>
    <w:rsid w:val="00DF38B2"/>
    <w:rsid w:val="00DF4311"/>
    <w:rsid w:val="00DF438E"/>
    <w:rsid w:val="00DF48B4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2F75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F1B"/>
    <w:rsid w:val="00E10484"/>
    <w:rsid w:val="00E1075D"/>
    <w:rsid w:val="00E10915"/>
    <w:rsid w:val="00E10A80"/>
    <w:rsid w:val="00E117E3"/>
    <w:rsid w:val="00E11DAF"/>
    <w:rsid w:val="00E12032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3001D"/>
    <w:rsid w:val="00E30746"/>
    <w:rsid w:val="00E30E29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B0A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392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4CF3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282C"/>
    <w:rsid w:val="00F12A60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1D4"/>
    <w:rsid w:val="00F472A4"/>
    <w:rsid w:val="00F4768B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08C"/>
    <w:rsid w:val="00F652FB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223"/>
    <w:rsid w:val="00F82488"/>
    <w:rsid w:val="00F825FB"/>
    <w:rsid w:val="00F82B59"/>
    <w:rsid w:val="00F82B5C"/>
    <w:rsid w:val="00F82EBA"/>
    <w:rsid w:val="00F8308E"/>
    <w:rsid w:val="00F83570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B45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CF"/>
    <w:rsid w:val="00FA3858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791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D7B4F0EA-1E3F-4716-958C-8B4DEF03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6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7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21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8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9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2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2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16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0C97E-3572-4C2D-8AF9-D2303571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7</cp:revision>
  <cp:lastPrinted>2016-09-19T04:11:00Z</cp:lastPrinted>
  <dcterms:created xsi:type="dcterms:W3CDTF">2019-07-30T02:18:00Z</dcterms:created>
  <dcterms:modified xsi:type="dcterms:W3CDTF">2019-08-16T01:57:00Z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(3)nQr/1Nu8y0rdEU4FPPiYLhbkTYLCj4+60mA9nNQThASp5/ps/2YdpXgfu+X1iggF5EWFkVB8
bMuRDkUpYQm2monWvKKRHH8W9PGdAyTAW3jAoSlEUADZnChYldgAqOayWFyknxLRJAW9rFsG
otqcsgrv9uqrwDyEjiwoMAGb084a6QgQALcFDLKHlm+sSvYzMi9MFE8M40CYuNo911ng5NO/
WDl97CN7s7aDsrQnIO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3ujbNDo6UoizRT04RMKgdASq03IkWPSUw2iJ2rk8S+5FysQZOUGIX5
wKJMlijABtGP37TbQ+DJoKjATz3j1s/IWvzXqnuILtNnb17HsoWdQo2meSOozlMCcG0G/+Az
jlE2Kg1qyeVBw9wqEU2L69hCsc2iJOyewTc+1d+YF9946nmsh95HkVahsP/3STYshm4QhvGN
hfDDP2FY0OQxmZml9JpuaI1t0gpm5SmUrgNk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6Q==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1565916707</vt:lpwstr>
  </property>
</Properties>
</file>